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EC9" w:rsidRPr="00672F92" w:rsidRDefault="001B0549" w:rsidP="00DC184C">
      <w:pPr>
        <w:spacing w:after="120"/>
        <w:rPr>
          <w:rFonts w:ascii="Century Gothic" w:hAnsi="Century Gothic"/>
          <w:b/>
          <w:sz w:val="18"/>
          <w:szCs w:val="18"/>
          <w:lang w:val="en-US"/>
        </w:rPr>
      </w:pPr>
      <w:r w:rsidRPr="00672F92">
        <w:rPr>
          <w:rFonts w:ascii="Century Gothic" w:hAnsi="Century Gothic"/>
          <w:b/>
          <w:sz w:val="18"/>
          <w:szCs w:val="18"/>
        </w:rPr>
        <w:t>Приложение 1.16.7 – 3</w:t>
      </w:r>
      <w:r w:rsidR="00DC184C" w:rsidRPr="00672F92">
        <w:rPr>
          <w:rFonts w:ascii="Century Gothic" w:hAnsi="Century Gothic"/>
          <w:b/>
          <w:sz w:val="18"/>
          <w:szCs w:val="18"/>
        </w:rPr>
        <w:t>. Туристически маршрути</w:t>
      </w:r>
    </w:p>
    <w:p w:rsidR="008F4561" w:rsidRPr="00672F92" w:rsidRDefault="008F4561" w:rsidP="008F4561">
      <w:pPr>
        <w:rPr>
          <w:rFonts w:ascii="Century Gothic" w:hAnsi="Century Gothic"/>
          <w:b/>
          <w:sz w:val="18"/>
          <w:szCs w:val="18"/>
        </w:rPr>
      </w:pPr>
      <w:r w:rsidRPr="00672F92">
        <w:rPr>
          <w:rFonts w:ascii="Century Gothic" w:hAnsi="Century Gothic"/>
          <w:b/>
          <w:sz w:val="18"/>
          <w:szCs w:val="18"/>
        </w:rPr>
        <w:t>Туристически маршрути на територията на НП „Рила“</w:t>
      </w:r>
    </w:p>
    <w:p w:rsidR="008F4561" w:rsidRPr="00672F92" w:rsidRDefault="008F4561" w:rsidP="008F4561">
      <w:pPr>
        <w:rPr>
          <w:rFonts w:ascii="Century Gothic" w:hAnsi="Century Gothic"/>
          <w:sz w:val="18"/>
          <w:szCs w:val="18"/>
          <w:lang w:val="en-US"/>
        </w:rPr>
      </w:pPr>
    </w:p>
    <w:p w:rsidR="008F4561" w:rsidRPr="00672F92" w:rsidRDefault="008F4561" w:rsidP="008F4561">
      <w:pPr>
        <w:rPr>
          <w:rFonts w:ascii="Century Gothic" w:hAnsi="Century Gothic"/>
          <w:sz w:val="18"/>
          <w:szCs w:val="18"/>
          <w:u w:val="single"/>
        </w:rPr>
      </w:pPr>
      <w:r w:rsidRPr="00672F92">
        <w:rPr>
          <w:rFonts w:ascii="Century Gothic" w:hAnsi="Century Gothic"/>
          <w:sz w:val="18"/>
          <w:szCs w:val="18"/>
          <w:u w:val="single"/>
        </w:rPr>
        <w:t>Използвани съкращения:</w:t>
      </w:r>
    </w:p>
    <w:p w:rsidR="008F4561" w:rsidRPr="00672F92" w:rsidRDefault="008F4561" w:rsidP="008F4561">
      <w:pPr>
        <w:rPr>
          <w:rFonts w:ascii="Century Gothic" w:hAnsi="Century Gothic"/>
          <w:sz w:val="18"/>
          <w:szCs w:val="18"/>
        </w:rPr>
      </w:pPr>
      <w:r w:rsidRPr="00672F92">
        <w:rPr>
          <w:rFonts w:ascii="Century Gothic" w:hAnsi="Century Gothic"/>
          <w:sz w:val="18"/>
          <w:szCs w:val="18"/>
        </w:rPr>
        <w:t>OM – Основен туристически маршрут</w:t>
      </w:r>
    </w:p>
    <w:p w:rsidR="008F4561" w:rsidRPr="00672F92" w:rsidRDefault="008F4561" w:rsidP="008F4561">
      <w:pPr>
        <w:rPr>
          <w:rFonts w:ascii="Century Gothic" w:hAnsi="Century Gothic"/>
          <w:sz w:val="18"/>
          <w:szCs w:val="18"/>
        </w:rPr>
      </w:pPr>
      <w:r w:rsidRPr="00672F92">
        <w:rPr>
          <w:rFonts w:ascii="Century Gothic" w:hAnsi="Century Gothic"/>
          <w:sz w:val="18"/>
          <w:szCs w:val="18"/>
        </w:rPr>
        <w:t>VM – Второстепенен туристически маршрут</w:t>
      </w:r>
    </w:p>
    <w:p w:rsidR="008F4561" w:rsidRPr="00672F92" w:rsidRDefault="008F4561" w:rsidP="008F4561">
      <w:pPr>
        <w:rPr>
          <w:rFonts w:ascii="Century Gothic" w:hAnsi="Century Gothic"/>
          <w:sz w:val="18"/>
          <w:szCs w:val="18"/>
        </w:rPr>
      </w:pPr>
      <w:r w:rsidRPr="00672F92">
        <w:rPr>
          <w:rFonts w:ascii="Century Gothic" w:hAnsi="Century Gothic"/>
          <w:sz w:val="18"/>
          <w:szCs w:val="18"/>
        </w:rPr>
        <w:t>SM – Специализиран туристически маршрут</w:t>
      </w:r>
    </w:p>
    <w:p w:rsidR="008F4561" w:rsidRPr="00672F92" w:rsidRDefault="008F4561" w:rsidP="008F4561">
      <w:pPr>
        <w:rPr>
          <w:rFonts w:ascii="Century Gothic" w:hAnsi="Century Gothic"/>
          <w:sz w:val="18"/>
          <w:szCs w:val="18"/>
        </w:rPr>
      </w:pPr>
    </w:p>
    <w:tbl>
      <w:tblPr>
        <w:tblStyle w:val="TableGrid"/>
        <w:tblW w:w="14786" w:type="dxa"/>
        <w:tblLayout w:type="fixed"/>
        <w:tblLook w:val="04A0" w:firstRow="1" w:lastRow="0" w:firstColumn="1" w:lastColumn="0" w:noHBand="0" w:noVBand="1"/>
      </w:tblPr>
      <w:tblGrid>
        <w:gridCol w:w="1242"/>
        <w:gridCol w:w="1228"/>
        <w:gridCol w:w="1392"/>
        <w:gridCol w:w="1208"/>
        <w:gridCol w:w="1217"/>
        <w:gridCol w:w="1618"/>
        <w:gridCol w:w="2268"/>
        <w:gridCol w:w="1701"/>
        <w:gridCol w:w="2912"/>
      </w:tblGrid>
      <w:tr w:rsidR="008F4561" w:rsidRPr="00672F92" w:rsidTr="008F4561">
        <w:trPr>
          <w:cantSplit/>
          <w:tblHeader/>
        </w:trPr>
        <w:tc>
          <w:tcPr>
            <w:tcW w:w="1242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Маршрут</w:t>
            </w:r>
          </w:p>
        </w:tc>
        <w:tc>
          <w:tcPr>
            <w:tcW w:w="1228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Вид</w:t>
            </w:r>
          </w:p>
        </w:tc>
        <w:tc>
          <w:tcPr>
            <w:tcW w:w="1392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Начална точка</w:t>
            </w:r>
          </w:p>
        </w:tc>
        <w:tc>
          <w:tcPr>
            <w:tcW w:w="1208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Крайна точка</w:t>
            </w:r>
          </w:p>
        </w:tc>
        <w:tc>
          <w:tcPr>
            <w:tcW w:w="1217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Обща дължина, км</w:t>
            </w:r>
          </w:p>
        </w:tc>
        <w:tc>
          <w:tcPr>
            <w:tcW w:w="1618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Участък, преминаващ през резерват</w:t>
            </w:r>
          </w:p>
        </w:tc>
        <w:tc>
          <w:tcPr>
            <w:tcW w:w="2268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Атрактивност</w:t>
            </w:r>
          </w:p>
        </w:tc>
        <w:tc>
          <w:tcPr>
            <w:tcW w:w="1701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Обекти за подслон по трасето</w:t>
            </w:r>
          </w:p>
        </w:tc>
        <w:tc>
          <w:tcPr>
            <w:tcW w:w="2912" w:type="dxa"/>
            <w:shd w:val="clear" w:color="auto" w:fill="B2B2B2"/>
          </w:tcPr>
          <w:p w:rsidR="008F4561" w:rsidRPr="00672F92" w:rsidRDefault="008F4561" w:rsidP="00672F92">
            <w:pPr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b/>
                <w:sz w:val="18"/>
                <w:szCs w:val="18"/>
              </w:rPr>
              <w:t>Посетителски обекти и съоръжения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OM01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Паничище, Посетителски център на НП „Рила“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„Рилски езера“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9.79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„Скакавица“</w:t>
            </w:r>
            <w:r w:rsidRPr="00672F92">
              <w:rPr>
                <w:rFonts w:ascii="Century Gothic" w:hAnsi="Century Gothic"/>
                <w:sz w:val="18"/>
                <w:szCs w:val="18"/>
                <w:lang w:val="en-US"/>
              </w:rPr>
              <w:t xml:space="preserve">, </w:t>
            </w:r>
            <w:r w:rsidRPr="00672F92">
              <w:rPr>
                <w:rFonts w:ascii="Century Gothic" w:hAnsi="Century Gothic"/>
                <w:sz w:val="18"/>
                <w:szCs w:val="18"/>
              </w:rPr>
              <w:t>подотдел 9111.д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Урбанизиран маршрут, участъци неприятни за ходене, липса на погледни места. Смисълът му е основно достигане до района на Рилските езера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Зелени преслап – хижа и ведомствени почивни бази.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Огромно количество информационни и указателни табели, в различен стил и с разнопосочна информация; създават объркване. Някои са в лошо състояние.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само при хижите и почивните бази.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OM02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Бързанска поляна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„Рилски езера“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1.76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Еднообразен маршрут, липса на погледни места. Осъществява връзка между хижите.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„Ловна“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Достатъчни като количество информационни знаци, но разностилни и някои в лошо състояние. Кътове за отдих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OM03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„Рилски езера“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„Мальовица“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14.06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Районът на Рилските езера е един от най-красивите в Рила. Естетиката се нарушава от силната ерозия, но Д „НП Рила“ в момента извършва укрепителни дейности.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„Мальовица“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Достатъчни като количество информационни знаци. Поява на зимна маркировка в билната част; необходимост от обновяване. Нужда от систематизиране на маркировките на пресичащите се маршрути.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Силна ерозия; укрепителни дейности. Кътове за отдих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OM04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„Мальовица“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„Рибни езера“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18.29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предлага красиви гледки, но твърде дълги участъци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са твърде трудни и опасни за преминаване.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х. „Мальовица“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заслон „Страшното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езеро“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заслон „Кобилино бранище“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„Рибни езера“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 xml:space="preserve">Необходимост от обновяване на информационните знаци и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зимната маркировка. Кътове за отдих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OM05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„Рибни езера“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„Македония“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10.93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предлага красиви гледки, но твърде дълги участъци са твърде трудни и опасни за преминаване.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„Рибни езера“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Липса на информационни знаци (табла, табели). Кътове за отдих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OM06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„Македония“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Предела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26.49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„Парангалица“, отдел 538.б, 1, отдел 536.3, 4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предлага красиви гледки, но само в билната част; след влизането в гората не е особено атрактивен. Тежък и дълъг за преминаване.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„Предела“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Недостиг на информационни знаци и липса на маркировка в цели участъци по трасето. Кътове за отдих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OM07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„Рибни езера“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„Грънчар“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15.71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Централен рилски резерват, безлесната зона на южната граница и подотдел 7908.а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Има какво да се види по маршрута, но е дълъг и труден за преминаване.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„Рибни езера“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„Грънчар“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Има изградени мостчета над трудни за преминаване участъци. Информационните знаци и маркировките трябва да се обновят в някои участъци. Кътове за отдих само при хижите. 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OM08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„Грънчар“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„Мусала“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12.29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Централен рилски резерват, отдели 6437.3, 6438.4, 5, 6240.4, 2, 6239.1, 6238.12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Един доста натоварен маршрут и един доста натоварен обект в лицето на връх Мусала. Естетическата стойност е много висока.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„Грънчар“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заслон „Ледено езеро“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„Мусала“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Добро информационно обезпечаване на маршрута. Кътове за отдих налични при хижите; и двата се нуждаят от реновиране.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OM09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„Мусала“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К.к. Боровец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9.44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Не 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Самият маршрут е приятен за разходка в гората, но с невисока естетическа стойност. Важен е за осъществяване на връзка от Боровец към х. „Мусала“.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„Мусала“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Всички обекти за настаняване в к.к. Боровец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Информационното осигуряване на маршрута е достатъчно добро. Освен кът за отдих при х. „Мусала“, по трасето има изградени 3 къта за отдих с пейки и маси, при единия има и беседка. Последният се нуждае от обновяване.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OM10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„Мусала“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12.73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Централен рилски резерват, отдели 6438.4, 5, 6437.3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Предимно билен маршрут, с изкачване на три рилски върха и приятни гледки. Частта от х. „Мусала“ до вр. Мусала е изключително натоварена.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„Мусала“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Необходимост от систематизиране на маркировката и обновяване на някои табели и жалони. Кътове за отдих са налични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OM11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14.51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Централен рилски резерват, отдели 5347.10, 8, 4, а, 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в малко посещавана част на планината. Има красиви гледки, но като цяло е дълъг и малко еднообразен за ходене.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Необходимост от систематизиране на маркировката и обновяване на информационните табели и жалоните на зимната маркировка. Кътове за отдих са налични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OM12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Летовище Костенец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12.44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„Ибър“, отдел 5347.а, 4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е доста дълъг, по-голямата част е по черен път, който следва реката и се откриват красиви гледки. 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 обектите за настаняване в летовище Костенец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Има доста кътове за отдих в добро състояние, има и достатъчно табла, но повечето се нуждаят от ремонт. Необходимо е поставяне на указателни табели на два разклона и поставяне на маркировка на участъци от черния път.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OM13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Юндола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22.81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„Ибър“, отдели 5347.10, 8, 4, а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не е твърде атрактивен и освен това е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неподдържан. Районът около яз. „Белмекен“ е приятен, и самата м. Юндола е красиво място, но това не повишава „стойността“ на маршрута.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х. „Белмекен“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„Христо Смирненски“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Всички обекти за настаняване в м. Юндола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 xml:space="preserve">Необходимост от систематизиране на маркировката и поставяне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 xml:space="preserve">на информационни знаци. Кътове за отдих има при х. „Белмекен“ и яз. „Белмекен“, в не особено добро състояние. Това не се отнася за кътовете за отдих в района на х. „Христо Смирненски“. При ски-база „Старина“ има и конна база.  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OM14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„Трещеник“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19.63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Районът на Трещеник е приятно място.  Като цяло маршрутът не е особено атрактивен, въпреки че на няколко места предлага панорамни гледки.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„Трещеник“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„Грънчар“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Информационните табла и табели се нуждаят от реновиране.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 м. Нехтеница има Контролен пункт на Д „НП Рила“ (ПУ Якоруда).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има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OM15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Летовище Бодрост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10.21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среден по продължителност и трудност. Не се отличава с висока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х. „Бодрост“ 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Указателните знаци, информационните табла и местата за отдих са достатъчни и в добро състояние.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OM16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„Семково“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Хижа „Рибни езера“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10.88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color w:val="FF0000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Има какво да се види по маршрута, но е дълъг и труден за преминаване.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„Рибни езера“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само при хижите, особено добре уредени при х. „Семково“.</w:t>
            </w:r>
            <w:r w:rsidRPr="00672F92">
              <w:rPr>
                <w:rFonts w:ascii="Century Gothic" w:hAnsi="Century Gothic"/>
                <w:sz w:val="18"/>
                <w:szCs w:val="18"/>
                <w:lang w:val="en-US"/>
              </w:rPr>
              <w:t xml:space="preserve"> </w:t>
            </w:r>
            <w:r w:rsidRPr="00672F92">
              <w:rPr>
                <w:rFonts w:ascii="Century Gothic" w:hAnsi="Century Gothic"/>
                <w:sz w:val="18"/>
                <w:szCs w:val="18"/>
              </w:rPr>
              <w:t>Необходимост от обновяване на зимни и летни маркировки.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OM17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Рилски манастир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„Кобилино бранище“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12.97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„Риломанастирска гора“, отдели 25.а, б, 4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е по-скоро неприятен за преминаване, особено в „официалната посока“. Ако се ползва, е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препоръчително да става само в посока към Рилски манастир.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Обектите за настаняване в района на Рилски манастир и Кирилова поляна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з. „Кобилино бранище“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 xml:space="preserve">В района на Рилски манастир и Кирилова поляна е струпано голямо количество посетителска инфраструктура; нагоре от Сухото езеро такава липсва. Маркировката по маршрута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се нуждае от уеднаквяване.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  <w:lang w:val="en-US"/>
              </w:rPr>
              <w:lastRenderedPageBreak/>
              <w:t>VM01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Паничище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„Ловна“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7.71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е със средна продължителност  и се върви основно по пътища. Недостатък на маршрута е движението на автомобили по него. 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„Ловна“ обектите за настаняване в Паничище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Има достатъчно информационни табла и указателни табели, които са в добро състояние. Кътове за отдих има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VM02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Паничище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7.33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„Скакавица“, отдели 9111.д, 9110.б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приятен за ходене в частта от разклона за Зелени преслап до „Скакавица“; това е един от най-натоварените райони в Рила.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Всички обекти за настаняване в курорт Паничище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Ведомствени бази и хижа в м. Зелени преслап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Информационните знаци по маршрута са дори в повече; необходимо е систематизиране. Кът за отдих има 1 по пътя и 1 при х. „Скакавица“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VM03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3.06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„Скакавица“, отдел 9107.д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 особено атрактивен маршрут, макар и в един от най-посещаваните райони на планината; основно осигурява връзка между двете хижи.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Информационни и указателни табели, в различен стил и с разнопосочна информация; създават объркване. Някои са в лошо състояние. Маркировката се нуждае от систематизиране.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VM04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„Ловна“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3.69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„Скакавица“, отдел 9107.д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не е труден за ходене и е приятен, но не се отличава с изключителна естетическа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х. „Скакавица“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„Ловна“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Информационни и указателни табели, в различен стил и с разнопосочна информация. Кътове за отдих налични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VM05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Връх Кабул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7.89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„Скакавица“, 9107.д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Районът на Рилските езера е от най-атрактивните и посещаваните в Рила, но той е обект на други маршрути; в този маршрут няма голям смисъл.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изцяло необозначен на терен. Голяма част от него съвпада с други маршрути, а несъвпадащата част няма утъпкано трасе. Липсват и информационни знаци за него.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VM06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Сапарева баня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17.33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много тежък, препоръчителен е само в посоката от х. „Иван Вазов“ към Сапарева баня – денивелацията е много голяма (2000 м). Има много красиви гледки.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 обектите за настаняване  в Сапарева баня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Липсват информационни и указателни табели, такива има само в района на хижа „Иван Вазов“.  Необходимо е маркиране и обновяване на много участъци от маршрута. Кът за отдих има при х. „Иван Вазов“.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VM07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„Седемте езера“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1.87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кратък и осъществява връзка между двете хижи в един от най-посещаваните райони на Рила планина.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„7-те езера“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Информационните знаци и маркировките в целия район на Рилските езера се нуждаят от систематизиране. Кътове за отдих налични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VM08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8.27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Един от най-посещаваните маршрути в един от най-посещаваните райони на планината.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„Рилски езера“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Информационното обезпечаване на маршрута се нуждае от систематизиране и обновяване, както при всички маршрути в района на Рилските езера. Кътове за отдих има при хижите.</w:t>
            </w:r>
          </w:p>
        </w:tc>
      </w:tr>
    </w:tbl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228"/>
        <w:gridCol w:w="1392"/>
        <w:gridCol w:w="1208"/>
        <w:gridCol w:w="1217"/>
        <w:gridCol w:w="1618"/>
        <w:gridCol w:w="2268"/>
        <w:gridCol w:w="1701"/>
        <w:gridCol w:w="2912"/>
      </w:tblGrid>
      <w:tr w:rsidR="002D44C3" w:rsidRPr="00672F92" w:rsidTr="00672F92">
        <w:tc>
          <w:tcPr>
            <w:tcW w:w="1242" w:type="dxa"/>
          </w:tcPr>
          <w:p w:rsidR="002D44C3" w:rsidRPr="00672F92" w:rsidRDefault="002D44C3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  <w:lang w:val="en-US"/>
              </w:rPr>
              <w:t>VM09</w:t>
            </w:r>
          </w:p>
        </w:tc>
        <w:tc>
          <w:tcPr>
            <w:tcW w:w="1228" w:type="dxa"/>
          </w:tcPr>
          <w:p w:rsidR="002D44C3" w:rsidRPr="00672F92" w:rsidRDefault="002D44C3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2D44C3" w:rsidRPr="00672F92" w:rsidRDefault="00BF2036" w:rsidP="00672F9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Рилски манастир</w:t>
            </w:r>
          </w:p>
        </w:tc>
        <w:tc>
          <w:tcPr>
            <w:tcW w:w="1208" w:type="dxa"/>
          </w:tcPr>
          <w:p w:rsidR="002D44C3" w:rsidRPr="00672F92" w:rsidRDefault="00BF2036" w:rsidP="00672F9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Х. Мальовица</w:t>
            </w:r>
          </w:p>
        </w:tc>
        <w:tc>
          <w:tcPr>
            <w:tcW w:w="1217" w:type="dxa"/>
          </w:tcPr>
          <w:p w:rsidR="002D44C3" w:rsidRPr="00672F92" w:rsidRDefault="00BF2036" w:rsidP="00672F9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11.14</w:t>
            </w:r>
          </w:p>
        </w:tc>
        <w:tc>
          <w:tcPr>
            <w:tcW w:w="1618" w:type="dxa"/>
          </w:tcPr>
          <w:p w:rsidR="002D44C3" w:rsidRPr="00BF2036" w:rsidRDefault="002D44C3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BF2036">
              <w:rPr>
                <w:rFonts w:ascii="Century Gothic" w:hAnsi="Century Gothic"/>
                <w:sz w:val="18"/>
                <w:szCs w:val="18"/>
              </w:rPr>
              <w:t>През резерват „Риломанастирска гора”</w:t>
            </w:r>
          </w:p>
          <w:p w:rsidR="00BF2036" w:rsidRPr="00BF2036" w:rsidRDefault="00BF2036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BF2036">
              <w:rPr>
                <w:rFonts w:ascii="Century Gothic" w:hAnsi="Century Gothic"/>
                <w:sz w:val="18"/>
                <w:szCs w:val="18"/>
              </w:rPr>
              <w:lastRenderedPageBreak/>
              <w:t>Забележка:</w:t>
            </w:r>
          </w:p>
          <w:p w:rsidR="00BF2036" w:rsidRPr="00BF2036" w:rsidRDefault="00BF2036" w:rsidP="00BF2036">
            <w:pPr>
              <w:rPr>
                <w:rFonts w:ascii="Century Gothic" w:hAnsi="Century Gothic"/>
                <w:sz w:val="16"/>
                <w:szCs w:val="16"/>
              </w:rPr>
            </w:pPr>
            <w:r w:rsidRPr="00BF2036">
              <w:rPr>
                <w:rFonts w:ascii="Century Gothic" w:hAnsi="Century Gothic" w:cs="Arial"/>
                <w:bCs/>
                <w:sz w:val="16"/>
                <w:szCs w:val="16"/>
              </w:rPr>
              <w:t>маршрут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ът</w:t>
            </w:r>
            <w:r w:rsidRPr="00BF2036">
              <w:rPr>
                <w:rFonts w:ascii="Century Gothic" w:hAnsi="Century Gothic" w:cs="Arial"/>
                <w:bCs/>
                <w:sz w:val="16"/>
                <w:szCs w:val="16"/>
              </w:rPr>
              <w:t xml:space="preserve"> върви на север, като съвпада с маршрут RMG03 (Рилски манастир - Додов връх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 xml:space="preserve"> от ПУ на Резерват „Риломанастирска гора“</w:t>
            </w:r>
            <w:r w:rsidRPr="00BF2036">
              <w:rPr>
                <w:rFonts w:ascii="Century Gothic" w:hAnsi="Century Gothic" w:cs="Arial"/>
                <w:bCs/>
                <w:sz w:val="16"/>
                <w:szCs w:val="16"/>
              </w:rPr>
              <w:t>). Достигайки до билото, завива на изток и по билото се насочва към вр.Мальовица и след това слиза към х.Мальовица. През този участък маршрут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ът</w:t>
            </w:r>
            <w:bookmarkStart w:id="0" w:name="_GoBack"/>
            <w:bookmarkEnd w:id="0"/>
            <w:r w:rsidRPr="00BF2036">
              <w:rPr>
                <w:rFonts w:ascii="Century Gothic" w:hAnsi="Century Gothic" w:cs="Arial"/>
                <w:bCs/>
                <w:sz w:val="16"/>
                <w:szCs w:val="16"/>
              </w:rPr>
              <w:t xml:space="preserve"> съвпада с маршрут ОМ03 (х. Рилски езера – Раздела връх Мальовица – х. Мальовица</w:t>
            </w:r>
          </w:p>
        </w:tc>
        <w:tc>
          <w:tcPr>
            <w:tcW w:w="2268" w:type="dxa"/>
          </w:tcPr>
          <w:p w:rsidR="002D44C3" w:rsidRPr="00672F92" w:rsidRDefault="002D44C3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Маршрут</w:t>
            </w:r>
            <w:r w:rsidR="00672F92" w:rsidRPr="00672F92">
              <w:rPr>
                <w:rFonts w:ascii="Century Gothic" w:hAnsi="Century Gothic"/>
                <w:sz w:val="18"/>
                <w:szCs w:val="18"/>
              </w:rPr>
              <w:t>ът</w:t>
            </w:r>
            <w:r w:rsidRPr="00672F92">
              <w:rPr>
                <w:rFonts w:ascii="Century Gothic" w:hAnsi="Century Gothic"/>
                <w:sz w:val="18"/>
                <w:szCs w:val="18"/>
              </w:rPr>
              <w:t xml:space="preserve"> е атрактивен, защото преодолява голяма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низходяща  денивелация- подходящ за проверка на физическата издържливост</w:t>
            </w:r>
          </w:p>
        </w:tc>
        <w:tc>
          <w:tcPr>
            <w:tcW w:w="1701" w:type="dxa"/>
          </w:tcPr>
          <w:p w:rsidR="002D44C3" w:rsidRPr="00672F92" w:rsidRDefault="002D44C3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Рилски манастир и х. „Мальовица”</w:t>
            </w:r>
          </w:p>
        </w:tc>
        <w:tc>
          <w:tcPr>
            <w:tcW w:w="2912" w:type="dxa"/>
          </w:tcPr>
          <w:p w:rsidR="002D44C3" w:rsidRPr="00672F92" w:rsidRDefault="002D44C3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Информационното обеспечаване на маршрута се нуждае от редовно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обновяване след зимния сезон. Това се отнася както за лятната, така и за зимната маркировка с метални жалони.</w:t>
            </w:r>
          </w:p>
        </w:tc>
      </w:tr>
    </w:tbl>
    <w:tbl>
      <w:tblPr>
        <w:tblStyle w:val="TableGrid"/>
        <w:tblW w:w="14786" w:type="dxa"/>
        <w:tblLayout w:type="fixed"/>
        <w:tblLook w:val="04A0" w:firstRow="1" w:lastRow="0" w:firstColumn="1" w:lastColumn="0" w:noHBand="0" w:noVBand="1"/>
      </w:tblPr>
      <w:tblGrid>
        <w:gridCol w:w="1242"/>
        <w:gridCol w:w="1228"/>
        <w:gridCol w:w="1392"/>
        <w:gridCol w:w="1208"/>
        <w:gridCol w:w="1217"/>
        <w:gridCol w:w="1618"/>
        <w:gridCol w:w="2268"/>
        <w:gridCol w:w="1701"/>
        <w:gridCol w:w="2912"/>
      </w:tblGrid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10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„Отовица“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11.4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приятен за преминаване, а и тази част от планината според някои е от най-красивите.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„Отовица“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„Юртата“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Информационните знаци по маршрута се нуждаят от опресняване. Кътове за отдих има при хижите, и още един по трасето в близост до х. „Отовица“.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С. Бистрица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18.11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Има участъци от маршрута, които са много красиви, и такива, които в момента са опасни. Маршрутът се препоръчва да се изминава само в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обратна посока – от х. „Иван Вазов“ към с. Бистрица.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з. „Юртата“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Информационното обезпечаване на маршрута е неравномерно. Кът за отдих има при х. „Иван Вазов“; различна посетителска инфраструктура е изградена в частта,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съвпадаща със СМ 12.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„Иван Вазов“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Рилски манастир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13.63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„Риломанастирска гора“, отдел 17.ж, б, г, 18.л, к, е, д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доста посещаван и попурярен, но е  труден и дълъг, с голяма денивелация (около 1400 м).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х. „Иван Вазов“ 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обектите за настаняване при Рилски манстир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Маркировката, състоянието на пътеката и съществуващите информационни табла е добро. Кътове за отдих има при х. „Иван Вазов“ и при Рилски манастир.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„Вада“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„Ловна“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2.91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посещаван, кратък и лесен за преминаване. По-голямата част от маршрута преминава през гора.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„Вада“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„Ловна“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В началната и крайна точки на маршрута и при разклон Вада има достатъчно и в добро състояние информационни и указателни табели. 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„Вада“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„7-те езера“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6.15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се намира в един от най-посещаваните райони на Рила. Приятен е за ходене, но не предлага изключителна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„Вада“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„7-те езера“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Информационното осигуряване на маршрута има проблемни участъци. Кътове за отдих са налични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5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Комплекс „Мальовица“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„Вада“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4.88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посещаван, лесен за преминаване. Яворова поляна е подходяща за организирани групови занимания.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Обектите за настаняване в комплекс „Мальовица“ хижа „Вада“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 началната и крайна точки на маршрута има достатъчно и в добро състояние информационни и указателни табели. Кътът за отдих при Урдина река е в добро състояние.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6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Яворова поляна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Разклон Раздела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7.11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 w:cstheme="minorHAnsi"/>
                <w:sz w:val="18"/>
                <w:szCs w:val="18"/>
              </w:rPr>
              <w:t xml:space="preserve">Маршрутът е хубав; предлага и панорамни гледки, но е по-лесен в обратната посока – от Раздела към </w:t>
            </w:r>
            <w:r w:rsidRPr="00672F92">
              <w:rPr>
                <w:rFonts w:ascii="Century Gothic" w:hAnsi="Century Gothic" w:cstheme="minorHAnsi"/>
                <w:sz w:val="18"/>
                <w:szCs w:val="18"/>
              </w:rPr>
              <w:lastRenderedPageBreak/>
              <w:t>Яворова поляна. Не е ясно защо крайната и началната точки са избрани по този начин.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Информационното обезпечаване на маршрута се нуждае от усъвършенстване. На Яворова поляна има неизползваема „класна стая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на открито“ на Д „НП Рила“.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7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Комплекс „Мальовица“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Разклон Римски друм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5.79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посещаван, има много панорамни гледки и е със средна трудност. Подходящо място за почивка е брега на Йончево езеро, което се намира в средата на маршрута.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Обектите за настаняване в комплекс „Мальовица“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на маршрута е в добро състояние; необходимо е подобряване на обозначаването чрез знаци.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8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Комплекс „Мальовица“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„Орловец“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5.82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много посещаван и лесен до разклона за хижа „Иван Вазов“. След разклона е труден, но с неверояни панорамни гледки.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Комплекс „Мальовица“ хижа „Мальовица“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заслон „Орловец“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Информационните табели са достатъчни за мащабите  на маршрута, с изключение на заслон „Орловец“, където няма такива. Места за отдих има на хижата и заслона – в добро състояние. 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VM1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9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Овнарско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„Страшното езеро“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6.73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Посещаван  маршрут със средна трудност и малка продължителност. По маршрута има много красиви гледки.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„Страшното езеро“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Маркировката е отлична. Заслон „Страшното езеро“ е в отлично състояние. По маршрута няма информационни табла и обособени кътове за отдих. 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20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„Медарник“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„Кобилино бранище“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9.32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Централен рилски резерват, отдел 7877.1, 8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предлага красиви панорамни гледки, но при състоянието на з. „Кобилино бранище“ е труден за ползване (без място за нощувка)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„Медарник“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„Кобилино бранище“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Информационното осигуряване на маршрута е на сравнително добро равнище. Кът за отдих има при х. „Медарник“.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„Медарник“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Разклон Римски друм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11.26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Централен рилски резерват, отдел 7877.д,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10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 xml:space="preserve">По маршрута има много погледни места, но крайната точка е избрана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несполучливо.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х. „Медарник“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Информационното осигуряване на маршрута е добро. Кът за отдих има при х. „Медарник“.  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„Медарник“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Комплекс „Мальовица“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9.54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със средна продължителност и трудност, минава основно през гора.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„Медарник“ обекти за настаняване в комплекс „Мальовица“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е добра. Информационните табла са в началото и края на маршрута. Места за отдих има при х. „Мечит“ и в м. Овнарско, както и при комлекс „Мальовица“.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„Мусала“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„Ястребец“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3.57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Районът на х. „Мусала“ е от най-посещаваните в Рила, но самият маршрут не се отличава с особена атрактивност. Последната му част не е приятна естетически.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„Мусала“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„Ястребец“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 маршрута практически липсват информационни знаци. Кътове за отдих са налични само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К.к. Боровец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13.88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Много посещаван район от планината, но частта от к.к. Боровец до х. „Чакър войвода“ е по-скоро неприятна за посещение.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Всички обекти за настаняване в к.к. Боровец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„Чакър войвода“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Информационното обезпечаване на маршрута е достатъчно. Кътове за отдих има при хижите. Има мостове, които се нуждаят от укрепване / ремонт.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5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К.к. Боровец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16.15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Черната скала е атрактивно място за посещение; извън това маршрутът не е особено атрактивен.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Всички обекти за настаняване в к.к. Боровец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Необходимост от уточняване на маркировката и поставяне на обозначения на места, където има възможност за объркване на посетителя.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Няколко места за отдих по маршрута: маса с пейки, само пейки, беседка (нуждаят се от обновяване). При х. „Марица“ също има кът за отдих.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На Черната скала е оформена погледна площадка с парапет.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6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„Чакър войвода“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„Мусала“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6.8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Централен рилски резерват, отдели 6214.а, 6215.б, 3, 6217.а, 12, 6239.7, б, 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се намира в един от най-посещаваните райони на Рила. Осигурява важна връзка между хижите „Чакър войвода“ и „Мусала“. Извън това не е особено атрактивен.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„Чакър войвода“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„Мусала“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има при хижите. Информационното осигуряване на маршрута е сравнително добро.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7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Връх Мусала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7.43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Централен рилски резерват, отдели 6438.5, в, 3, 6437.а, 1, 6436.б, а, 6439.б, 6440.3, 6424.6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води до едно от емблематичните и най-посещавани места в Рила, но в момента е труден и дори опасен за преминаване.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се нуждае от систематизиране и уеднаквяване с указателните знаци. Има нужда и от допълнителна посетителска инфраструктура (мостчета или подобни съоръжения) на определени места.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 за отдих има при х. „Марица“.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8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3.02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Местоположението на х. „Заврачица“ е красиво, но маршрутът не е с висока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„Марица“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„Заврачица“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се нуждае от систематизиране и уеднаквяване с указателните знаци. Кътове за отдих има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VM2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9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Яз. „Белмекен“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Премката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7.47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приятен за посещение, но не се отличава с висока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Национална спортна база Белмекен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и обозначителните знаци се нуждаят от оптимизиране.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30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Летовище Костенец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16.93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„Ибър“, отдели 5347.10, 8, 4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дълъг и тежък, с голяма денивелация. По маршрута има много панорамни гледки.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„Гургулица“ з. „Плевнята“ х. „Белмекен“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Информационните  табели  и кътовете за отдих са концентрирани около хижите. Има достатъчно питейна вода по маршрута. Информационното обезпечаване е в сравнително добро състояние.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„Гургулица“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11.9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„Ибър“, отдели 5347.4, а, 5346.а, 5343.в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дълъг и със средна трудност; не се отличава с изключителна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кантон „Крайна“ 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з. „Плевнята“ х. „Гургулица“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Необходимо е поставянето на указателни табели на четири ключови разклона; опресняване на маркировката в някои участъци. Кътове за отдих са оформени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„Венетица“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10.73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„Ибър“, отдел 5347.4, а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със средна продължителност и трудност. Погледни места има в района на хижа „Белмекен“.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„Венетица“ х. „Белмекен“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Необходимо е маркиране на участъка след разклона за връх Ибър до включването в основния път. По маршрута има достатъчно указателни табели. Кътове за отдих има при хижите; в м. Ечемиците и малко преди нея по трасето.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„Венетица“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Връх Ибър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12.28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Резерват „Ибър“, отдели 5360.а, 5361.в, 5, б, 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много тежък и дълъг, към момента в това състояние (неподдържан) невъзможен за преминаване в рамките на един ден.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„Венетица“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За да се използва този маршрут е задължително да се прочистят клоните по клековата пътека, както и падналите дървета и клони по горските пътеки и пътища. Необходимо е опресняване на маркировката във втората половина от маршрута.  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„Белмекен“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Айран дере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6.19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Резерват „Ибър“, отдел 5347.4, а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непроходим и неизползваем.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5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„Трещеник“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15.47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Местностите Трещеник и Семково са предпочитани подходи към планината откъм южната й страна. Връзката между тях е важна и необходима, но в този му вид от маршрута има какво да се желае. 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„Трещеник“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има нужда от цялостна маркировка и поставяне на обозначителни знаци на необходимите места.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има при хижите и в м. Нехтеница.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6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Сухото езеро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4.24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в огромната си част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съвпада с ВМ 34, с изключение на една малка отбивка към самото Сухо езеро. Езерото е красиво и си струва да се посети.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х. „Семково“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Вж ВМ 34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Необходимо е обозначаване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на отбивката за Сухото езеро.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7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 „Македония“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9.61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Районът на Семково е от предпочитаните откъм южната страна на Рила, но районът на х. „Македония“ се посещава все по-рядко. Маршрутът не се отличава с висока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Необходимост от цялостно маркиране на маршрута и поставяне на обозначения, където е необходимо. Мостовете по трасето се нуждаят от ремонт.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налични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8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„Добърско“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15.88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не е особено популярен и не се ползва много; възможно е посетителят да се изгуби по него. Няма и висока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„Добърско“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Необходимост от подновяване на маркировката и поставяне на указателни знаци.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 маршрута има дървен мост, нуждаещ се от укрепване.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Кътове за отдих има при хижите.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VM3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9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С. Добърско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 Е4 под х. „Македония“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11.6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сравнително лесен и приятен за ходене, но не се отличава с изключителни естетически качества.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Наличните обекти за настаняване в с. Добърско и другите села от Разложко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Информационното обезпечаване на маршрута е сравнително добро. Кът за отдих има при х. „Добърско“, която в момента не е действаща.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40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Рилски манастир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21.01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е дълъг и отегчителен за преминаване, защото е еднообразен. Не се препоръчва да се минава в обратна посока, като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изкачване към х. „Македония“.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х. „Македония“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обектите за настаняване при Рилски манастир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Необходимост от оптимизиране на обозначаването на маршрута. Кътове за отдих има при х. „Македония“ и в района на Рилски манастир; там има и Орнитологичен център /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Училище на открито. Около Рилски манастир има много информационни табла.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VM4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„Елешница“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25.65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изключително тежък, много дълъг и с голяма денивелация (1500 м). В обратна посока маршрутът е още по-труден.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„Македония“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х-л „Невен“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 маршрута липсват указателни и информационни табели, маркировката не е в добро състояние. Информационно обезпечени са само местата около хижите; там има и кътове за отдих.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VM4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Славово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„Чакалица“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7.56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непосещаван и неподдържан. Приятен е за ходене, но не се отличава с изключителна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„Чакалица“ (по-скоро заслон в момента)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на маршрута трябва да се поднови; има нужда от поставяне на нови информационни знаци. Кът за отдих има при х. „Чакалица“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VM4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„Чакалица“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Връх Скачковец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5.96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непосещаван и неподдържан. Приятен е за ходене, но не се отличава с изключителна естетическа стойност.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„Чакалица“ (по-скоро заслон в момента)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на маршрута трябва да се поднови; има нужда от поставяне на нови информационни знаци. Кът за отдих има при х. „Чакалица“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2D44C3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VM4</w:t>
            </w:r>
            <w:r w:rsidR="002D44C3" w:rsidRPr="00672F92">
              <w:rPr>
                <w:rFonts w:ascii="Century Gothic" w:hAnsi="Century Gothic"/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Пешеходен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„Чакалица“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Предела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20.22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непосещаван и неподдържан, освен това дълъг и труден. В този му вид е практически невъзможен за ползване.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„Чакалица“ (по-скоро заслон в момента)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„Предел“ и други обекти в м. Предела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на маршрута трябва да се поднови; има нужда от поставяне на нови информационни знаци. Кът за отдих има при х. „Чакалица“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SM01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Летовище Бодрост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Карталска поляна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3.27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лек и приятен за преминаване, но не може да бъде намерен без водач.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Всички обекти за настаняване в летовище Бодрост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не е маркиран и обозначен; има информационни табла от сградата на център „Еколенд“.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Изградени 2 чешми и 1 беседка в крайната точка.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SM02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С. Добърско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Статево гюбре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9.45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дълъг и в по–голямата си част върви по черен път, който не предлага красиви погледни места.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Обекти за настаняване в с. Добърско и съседните села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„Добърско“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Маркировката се нуждае от обновяване; по маршрута са поставени информационни табла за балканската дива коза.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Чешми има в началото и при х. „Добърско“, при къта за отдих. Още два къта за отдих – един преди хижата и един в м. Германица.</w:t>
            </w:r>
          </w:p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 къща „Дешка“ в с. Горно Драглище е оформен инфо-център.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SM03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Разклон преди х. „Добърско“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Германица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Един от първите интерпретативни маршрути в района на НП „Рила“.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„Добърско“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При х. „Добърско“ има кът за отдих. Таблата по маршрута трябва да бъдат възстановени. В Посетителски център Добърско има експозиция за глухаря, но понастоящем не работи.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SM04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Разклон преди х. „Добърско“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Германица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Един от първите интерпретативни маршрути в района на НП „Рила“.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„Добърско“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При х. „Добърско“ има кът за отдих. Таблата по маршрута трябва да бъдат възстановени. В Посетителски център Добърско има експозиция за рилската иглика, но понастоящем не работи.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SM05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С. Бачево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 Е4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13.17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твърде дълъг за ходене; препоръчва се да се ползва само като отбивка на Е4 за достигане до с. Бачево.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 маршрута има подготвени табла без информация на тях; необходимо е да се набави. Има участъци с необходимост от поставяне на допълнителни информационни знаци.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SM06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С. Годлево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Е4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13.14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Маршрутът е твърде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дълъг за ходене; препоръчва се да се ползва само като отбивка на Е4 за достигане до с. Годлево.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 xml:space="preserve">По маршрута има </w:t>
            </w: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подготвени табла без информация на тях; необходимо е да се набави. Има участъци с необходимост от поставяне на допълнителни информационни знаци.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lastRenderedPageBreak/>
              <w:t>SM07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Сухото езеро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съвпада с ВМ 34.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SM08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„Семково“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Вапски езера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съвпада с ОМ 16.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SM09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Над с. Бели искър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Кръгов маршрут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672F92">
              <w:rPr>
                <w:rFonts w:ascii="Century Gothic" w:hAnsi="Century Gothic"/>
                <w:sz w:val="18"/>
                <w:szCs w:val="18"/>
                <w:lang w:val="en-US"/>
              </w:rPr>
              <w:t>4.86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много приятен, за всякакви групи посетители.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 маршрута има изградена голямо количество посетителска инфраструктура, която като цяло е в добро състояние.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SM10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Разклон за х. „Вада“ под комплекс „Мальовица“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Втори праг на Урдина река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4.19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не е дълъг; приятен е за ходене, но недостъпен при пълноводие на Урдина река. В момента не може да се ползва като специализиран.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Инфраструктурата по маршрута се нуждае от обновяване или направо подмяна.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SM11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Скакавишки водопад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1.2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Маршрутът е кратък и приятен; водопадът си струва да се види. Трябва да се разработи ботаническата тема, за да бъде маршрутът наистина специализиран.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х. „Скакавица“</w:t>
            </w: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 маршрута има ограничен брой табелки към водопада в син цвят. Няма други обозначения и/или инфраструктура.</w:t>
            </w:r>
          </w:p>
        </w:tc>
      </w:tr>
      <w:tr w:rsidR="008F4561" w:rsidRPr="00672F92" w:rsidTr="008F4561">
        <w:tc>
          <w:tcPr>
            <w:tcW w:w="124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SM12</w:t>
            </w:r>
          </w:p>
        </w:tc>
        <w:tc>
          <w:tcPr>
            <w:tcW w:w="122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Специализиран</w:t>
            </w:r>
          </w:p>
        </w:tc>
        <w:tc>
          <w:tcPr>
            <w:tcW w:w="139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С. Бистрица</w:t>
            </w:r>
          </w:p>
        </w:tc>
        <w:tc>
          <w:tcPr>
            <w:tcW w:w="120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М. Морените</w:t>
            </w:r>
          </w:p>
        </w:tc>
        <w:tc>
          <w:tcPr>
            <w:tcW w:w="1217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8.48</w:t>
            </w:r>
          </w:p>
        </w:tc>
        <w:tc>
          <w:tcPr>
            <w:tcW w:w="161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Не</w:t>
            </w:r>
          </w:p>
        </w:tc>
        <w:tc>
          <w:tcPr>
            <w:tcW w:w="2268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Много приятен маршрут.</w:t>
            </w:r>
          </w:p>
        </w:tc>
        <w:tc>
          <w:tcPr>
            <w:tcW w:w="1701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912" w:type="dxa"/>
          </w:tcPr>
          <w:p w:rsidR="008F4561" w:rsidRPr="00672F92" w:rsidRDefault="008F4561" w:rsidP="00672F92">
            <w:pPr>
              <w:rPr>
                <w:rFonts w:ascii="Century Gothic" w:hAnsi="Century Gothic"/>
                <w:sz w:val="18"/>
                <w:szCs w:val="18"/>
              </w:rPr>
            </w:pPr>
            <w:r w:rsidRPr="00672F92">
              <w:rPr>
                <w:rFonts w:ascii="Century Gothic" w:hAnsi="Century Gothic"/>
                <w:sz w:val="18"/>
                <w:szCs w:val="18"/>
              </w:rPr>
              <w:t>По маршрута има доста голям брой спирки, с инфо табла и изградени кътове за отдих. Посетителската инфраструктура е в много добро състояние.</w:t>
            </w:r>
          </w:p>
        </w:tc>
      </w:tr>
    </w:tbl>
    <w:p w:rsidR="008F4561" w:rsidRPr="00672F92" w:rsidRDefault="008F4561" w:rsidP="008F4561">
      <w:pPr>
        <w:rPr>
          <w:rFonts w:ascii="Century Gothic" w:hAnsi="Century Gothic"/>
          <w:sz w:val="18"/>
          <w:szCs w:val="18"/>
        </w:rPr>
      </w:pPr>
    </w:p>
    <w:p w:rsidR="008F4561" w:rsidRPr="00672F92" w:rsidRDefault="008F4561" w:rsidP="00DC184C">
      <w:pPr>
        <w:spacing w:after="120"/>
        <w:rPr>
          <w:rFonts w:ascii="Century Gothic" w:hAnsi="Century Gothic"/>
          <w:b/>
          <w:sz w:val="18"/>
          <w:szCs w:val="18"/>
          <w:lang w:val="en-US"/>
        </w:rPr>
      </w:pPr>
    </w:p>
    <w:sectPr w:rsidR="008F4561" w:rsidRPr="00672F92" w:rsidSect="008F4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69D" w:rsidRDefault="004E269D" w:rsidP="00352050">
      <w:r>
        <w:separator/>
      </w:r>
    </w:p>
  </w:endnote>
  <w:endnote w:type="continuationSeparator" w:id="0">
    <w:p w:rsidR="004E269D" w:rsidRDefault="004E269D" w:rsidP="0035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ypeWriter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92" w:rsidRDefault="00672F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1035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2F92" w:rsidRDefault="00672F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0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2F92" w:rsidRDefault="00672F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92" w:rsidRDefault="00672F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69D" w:rsidRDefault="004E269D" w:rsidP="00352050">
      <w:r>
        <w:separator/>
      </w:r>
    </w:p>
  </w:footnote>
  <w:footnote w:type="continuationSeparator" w:id="0">
    <w:p w:rsidR="004E269D" w:rsidRDefault="004E269D" w:rsidP="00352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92" w:rsidRDefault="00672F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92" w:rsidRDefault="00672F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92" w:rsidRDefault="00672F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D622F"/>
    <w:multiLevelType w:val="hybridMultilevel"/>
    <w:tmpl w:val="83026C02"/>
    <w:lvl w:ilvl="0" w:tplc="E72AE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ahoma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6733CC"/>
    <w:multiLevelType w:val="hybridMultilevel"/>
    <w:tmpl w:val="CCEC265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A65FE"/>
    <w:multiLevelType w:val="hybridMultilevel"/>
    <w:tmpl w:val="B54A4E0E"/>
    <w:lvl w:ilvl="0" w:tplc="26D040E4">
      <w:start w:val="9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EE95B48"/>
    <w:multiLevelType w:val="hybridMultilevel"/>
    <w:tmpl w:val="CFE2AEBA"/>
    <w:lvl w:ilvl="0" w:tplc="4D146E4C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06419A1"/>
    <w:multiLevelType w:val="hybridMultilevel"/>
    <w:tmpl w:val="0CA67D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8142606"/>
    <w:multiLevelType w:val="hybridMultilevel"/>
    <w:tmpl w:val="5CD4995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647660"/>
    <w:multiLevelType w:val="multilevel"/>
    <w:tmpl w:val="199617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pStyle w:val="Heading2"/>
      <w:isLgl/>
      <w:lvlText w:val="%1.%2."/>
      <w:lvlJc w:val="left"/>
      <w:pPr>
        <w:ind w:left="1146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  <w:i w:val="0"/>
      </w:rPr>
    </w:lvl>
  </w:abstractNum>
  <w:abstractNum w:abstractNumId="7">
    <w:nsid w:val="6DEC42F9"/>
    <w:multiLevelType w:val="hybridMultilevel"/>
    <w:tmpl w:val="C0004210"/>
    <w:lvl w:ilvl="0" w:tplc="87C647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C9"/>
    <w:rsid w:val="00063506"/>
    <w:rsid w:val="000F27CE"/>
    <w:rsid w:val="00154878"/>
    <w:rsid w:val="001B0549"/>
    <w:rsid w:val="002205A7"/>
    <w:rsid w:val="002D44C3"/>
    <w:rsid w:val="00352050"/>
    <w:rsid w:val="004E269D"/>
    <w:rsid w:val="00672F92"/>
    <w:rsid w:val="006B3FA8"/>
    <w:rsid w:val="006C4286"/>
    <w:rsid w:val="008F4561"/>
    <w:rsid w:val="009F2230"/>
    <w:rsid w:val="00B42EC9"/>
    <w:rsid w:val="00BC7C93"/>
    <w:rsid w:val="00BF2036"/>
    <w:rsid w:val="00C9649C"/>
    <w:rsid w:val="00DC184C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EC9"/>
    <w:pPr>
      <w:suppressAutoHyphens/>
      <w:jc w:val="both"/>
    </w:pPr>
    <w:rPr>
      <w:rFonts w:ascii="Garamond" w:hAnsi="Garamond" w:cs="Tahom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4561"/>
    <w:pPr>
      <w:keepNext/>
      <w:numPr>
        <w:ilvl w:val="1"/>
        <w:numId w:val="8"/>
      </w:numPr>
      <w:suppressAutoHyphens w:val="0"/>
      <w:outlineLvl w:val="1"/>
    </w:pPr>
    <w:rPr>
      <w:rFonts w:ascii="Times New Roman" w:hAnsi="Times New Roman" w:cs="Times New Roman"/>
      <w:sz w:val="22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F4561"/>
    <w:pPr>
      <w:keepNext/>
      <w:suppressAutoHyphens w:val="0"/>
      <w:ind w:left="1866" w:hanging="720"/>
      <w:outlineLvl w:val="2"/>
    </w:pPr>
    <w:rPr>
      <w:rFonts w:ascii="TypeWriterCyr" w:hAnsi="TypeWriterCyr" w:cs="Times New Roman"/>
      <w:szCs w:val="20"/>
      <w:u w:val="single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561"/>
    <w:pPr>
      <w:keepNext/>
      <w:keepLines/>
      <w:suppressAutoHyphens w:val="0"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F4561"/>
    <w:pPr>
      <w:suppressAutoHyphens w:val="0"/>
      <w:spacing w:before="240" w:after="60"/>
      <w:jc w:val="left"/>
      <w:outlineLvl w:val="7"/>
    </w:pPr>
    <w:rPr>
      <w:rFonts w:ascii="Times New Roman" w:hAnsi="Times New Roman" w:cs="Times New Roman"/>
      <w:i/>
      <w:iCs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8F4561"/>
    <w:pPr>
      <w:suppressAutoHyphens w:val="0"/>
      <w:spacing w:before="240" w:after="60"/>
      <w:jc w:val="left"/>
      <w:outlineLvl w:val="8"/>
    </w:pPr>
    <w:rPr>
      <w:rFonts w:ascii="Arial" w:hAnsi="Arial" w:cs="Arial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2EC9"/>
    <w:pPr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character" w:customStyle="1" w:styleId="a">
    <w:name w:val="Основной текст_"/>
    <w:basedOn w:val="DefaultParagraphFont"/>
    <w:link w:val="1"/>
    <w:rsid w:val="00B42EC9"/>
    <w:rPr>
      <w:spacing w:val="2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B42EC9"/>
    <w:pPr>
      <w:widowControl w:val="0"/>
      <w:shd w:val="clear" w:color="auto" w:fill="FFFFFF"/>
      <w:suppressAutoHyphens w:val="0"/>
      <w:spacing w:after="180" w:line="341" w:lineRule="exact"/>
      <w:ind w:hanging="540"/>
      <w:jc w:val="left"/>
    </w:pPr>
    <w:rPr>
      <w:rFonts w:ascii="Times New Roman" w:hAnsi="Times New Roman" w:cs="Times New Roman"/>
      <w:spacing w:val="2"/>
      <w:sz w:val="20"/>
      <w:szCs w:val="20"/>
      <w:lang w:eastAsia="en-US"/>
    </w:rPr>
  </w:style>
  <w:style w:type="character" w:customStyle="1" w:styleId="3">
    <w:name w:val="Основной текст (3)_"/>
    <w:basedOn w:val="DefaultParagraphFont"/>
    <w:link w:val="30"/>
    <w:rsid w:val="00B42EC9"/>
    <w:rPr>
      <w:b/>
      <w:bCs/>
      <w:i/>
      <w:iCs/>
      <w:spacing w:val="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B42EC9"/>
    <w:pPr>
      <w:widowControl w:val="0"/>
      <w:shd w:val="clear" w:color="auto" w:fill="FFFFFF"/>
      <w:suppressAutoHyphens w:val="0"/>
      <w:spacing w:before="300" w:after="300" w:line="240" w:lineRule="atLeast"/>
      <w:ind w:hanging="320"/>
    </w:pPr>
    <w:rPr>
      <w:rFonts w:ascii="Times New Roman" w:hAnsi="Times New Roman" w:cs="Times New Roman"/>
      <w:b/>
      <w:bCs/>
      <w:i/>
      <w:iCs/>
      <w:spacing w:val="3"/>
      <w:sz w:val="20"/>
      <w:szCs w:val="20"/>
      <w:lang w:eastAsia="en-US"/>
    </w:rPr>
  </w:style>
  <w:style w:type="character" w:customStyle="1" w:styleId="0pt">
    <w:name w:val="Основной текст + Интервал 0 pt"/>
    <w:basedOn w:val="a"/>
    <w:rsid w:val="00B42EC9"/>
    <w:rPr>
      <w:rFonts w:ascii="Times New Roman" w:hAnsi="Times New Roman" w:cs="Times New Roman"/>
      <w:spacing w:val="1"/>
      <w:sz w:val="20"/>
      <w:szCs w:val="20"/>
      <w:u w:val="none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3520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2050"/>
    <w:rPr>
      <w:rFonts w:ascii="Garamond" w:hAnsi="Garamond" w:cs="Tahoma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3520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2050"/>
    <w:rPr>
      <w:rFonts w:ascii="Garamond" w:hAnsi="Garamond" w:cs="Tahoma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8F4561"/>
    <w:rPr>
      <w:sz w:val="22"/>
      <w:u w:val="single"/>
    </w:rPr>
  </w:style>
  <w:style w:type="character" w:customStyle="1" w:styleId="Heading3Char">
    <w:name w:val="Heading 3 Char"/>
    <w:basedOn w:val="DefaultParagraphFont"/>
    <w:link w:val="Heading3"/>
    <w:rsid w:val="008F4561"/>
    <w:rPr>
      <w:rFonts w:ascii="TypeWriterCyr" w:hAnsi="TypeWriterCyr"/>
      <w:sz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5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F4561"/>
    <w:rPr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8F4561"/>
    <w:rPr>
      <w:rFonts w:ascii="Arial" w:hAnsi="Arial" w:cs="Arial"/>
      <w:sz w:val="22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F4561"/>
    <w:pPr>
      <w:widowControl w:val="0"/>
      <w:tabs>
        <w:tab w:val="left" w:pos="0"/>
        <w:tab w:val="left" w:pos="284"/>
        <w:tab w:val="right" w:leader="dot" w:pos="9214"/>
      </w:tabs>
      <w:suppressAutoHyphens w:val="0"/>
      <w:autoSpaceDE w:val="0"/>
      <w:autoSpaceDN w:val="0"/>
      <w:adjustRightInd w:val="0"/>
      <w:spacing w:line="360" w:lineRule="auto"/>
      <w:ind w:right="-14"/>
    </w:pPr>
    <w:rPr>
      <w:rFonts w:ascii="Times New Roman" w:hAnsi="Times New Roman" w:cs="Times New Roman"/>
      <w:b/>
      <w:smallCaps/>
      <w:noProof/>
      <w:sz w:val="20"/>
      <w:szCs w:val="20"/>
      <w:lang w:eastAsia="bg-BG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F4561"/>
    <w:pPr>
      <w:widowControl w:val="0"/>
      <w:tabs>
        <w:tab w:val="left" w:pos="567"/>
        <w:tab w:val="right" w:leader="dot" w:pos="9214"/>
      </w:tabs>
      <w:suppressAutoHyphens w:val="0"/>
      <w:autoSpaceDE w:val="0"/>
      <w:autoSpaceDN w:val="0"/>
      <w:adjustRightInd w:val="0"/>
      <w:spacing w:line="360" w:lineRule="auto"/>
      <w:ind w:left="567" w:right="30" w:hanging="425"/>
    </w:pPr>
    <w:rPr>
      <w:rFonts w:ascii="Times New Roman" w:hAnsi="Times New Roman" w:cs="Times New Roman"/>
      <w:b/>
      <w:noProof/>
      <w:lang w:eastAsia="bg-BG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F4561"/>
    <w:pPr>
      <w:widowControl w:val="0"/>
      <w:tabs>
        <w:tab w:val="left" w:pos="851"/>
        <w:tab w:val="right" w:leader="dot" w:pos="9214"/>
      </w:tabs>
      <w:suppressAutoHyphens w:val="0"/>
      <w:autoSpaceDE w:val="0"/>
      <w:autoSpaceDN w:val="0"/>
      <w:adjustRightInd w:val="0"/>
      <w:spacing w:line="360" w:lineRule="auto"/>
      <w:ind w:left="851" w:right="30" w:hanging="567"/>
    </w:pPr>
    <w:rPr>
      <w:rFonts w:ascii="Times New Roman" w:hAnsi="Times New Roman" w:cs="Times New Roman"/>
      <w:noProof/>
      <w:spacing w:val="1"/>
      <w:lang w:eastAsia="bg-BG"/>
    </w:rPr>
  </w:style>
  <w:style w:type="paragraph" w:styleId="FootnoteText">
    <w:name w:val="footnote text"/>
    <w:basedOn w:val="Normal"/>
    <w:link w:val="FootnoteTextChar"/>
    <w:autoRedefine/>
    <w:uiPriority w:val="99"/>
    <w:qFormat/>
    <w:rsid w:val="008F4561"/>
    <w:pPr>
      <w:widowControl w:val="0"/>
      <w:tabs>
        <w:tab w:val="left" w:pos="284"/>
      </w:tabs>
      <w:suppressAutoHyphens w:val="0"/>
      <w:spacing w:after="80" w:line="276" w:lineRule="auto"/>
      <w:ind w:left="284" w:hanging="284"/>
      <w:jc w:val="left"/>
    </w:pPr>
    <w:rPr>
      <w:rFonts w:ascii="Calibri" w:hAnsi="Calibri" w:cs="Times New Roman"/>
      <w:sz w:val="20"/>
      <w:szCs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4561"/>
    <w:rPr>
      <w:rFonts w:ascii="Calibri" w:hAnsi="Calibri"/>
      <w:szCs w:val="22"/>
      <w:lang w:val="en-GB"/>
    </w:rPr>
  </w:style>
  <w:style w:type="paragraph" w:styleId="Subtitle">
    <w:name w:val="Subtitle"/>
    <w:basedOn w:val="Normal"/>
    <w:link w:val="SubtitleChar"/>
    <w:qFormat/>
    <w:rsid w:val="008F4561"/>
    <w:pPr>
      <w:suppressAutoHyphens w:val="0"/>
    </w:pPr>
    <w:rPr>
      <w:rFonts w:ascii="TypeWriterCyr" w:hAnsi="TypeWriterCyr" w:cs="Times New Roman"/>
      <w:b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F4561"/>
    <w:rPr>
      <w:rFonts w:ascii="TypeWriterCyr" w:hAnsi="TypeWriterCyr"/>
      <w:b/>
      <w:sz w:val="24"/>
    </w:rPr>
  </w:style>
  <w:style w:type="character" w:styleId="Strong">
    <w:name w:val="Strong"/>
    <w:uiPriority w:val="22"/>
    <w:qFormat/>
    <w:rsid w:val="008F4561"/>
    <w:rPr>
      <w:b/>
      <w:bCs/>
    </w:rPr>
  </w:style>
  <w:style w:type="character" w:styleId="Emphasis">
    <w:name w:val="Emphasis"/>
    <w:qFormat/>
    <w:rsid w:val="008F4561"/>
    <w:rPr>
      <w:i/>
      <w:iCs/>
    </w:rPr>
  </w:style>
  <w:style w:type="paragraph" w:styleId="TOCHeading">
    <w:name w:val="TOC Heading"/>
    <w:basedOn w:val="Heading1"/>
    <w:next w:val="Normal"/>
    <w:uiPriority w:val="39"/>
    <w:qFormat/>
    <w:rsid w:val="008F4561"/>
    <w:pPr>
      <w:keepLines/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8F456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561"/>
    <w:pPr>
      <w:suppressAutoHyphens w:val="0"/>
      <w:jc w:val="left"/>
    </w:pPr>
    <w:rPr>
      <w:rFonts w:ascii="Tahoma" w:eastAsiaTheme="minorHAnsi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61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EC9"/>
    <w:pPr>
      <w:suppressAutoHyphens/>
      <w:jc w:val="both"/>
    </w:pPr>
    <w:rPr>
      <w:rFonts w:ascii="Garamond" w:hAnsi="Garamond" w:cs="Tahom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4561"/>
    <w:pPr>
      <w:keepNext/>
      <w:numPr>
        <w:ilvl w:val="1"/>
        <w:numId w:val="8"/>
      </w:numPr>
      <w:suppressAutoHyphens w:val="0"/>
      <w:outlineLvl w:val="1"/>
    </w:pPr>
    <w:rPr>
      <w:rFonts w:ascii="Times New Roman" w:hAnsi="Times New Roman" w:cs="Times New Roman"/>
      <w:sz w:val="22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F4561"/>
    <w:pPr>
      <w:keepNext/>
      <w:suppressAutoHyphens w:val="0"/>
      <w:ind w:left="1866" w:hanging="720"/>
      <w:outlineLvl w:val="2"/>
    </w:pPr>
    <w:rPr>
      <w:rFonts w:ascii="TypeWriterCyr" w:hAnsi="TypeWriterCyr" w:cs="Times New Roman"/>
      <w:szCs w:val="20"/>
      <w:u w:val="single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561"/>
    <w:pPr>
      <w:keepNext/>
      <w:keepLines/>
      <w:suppressAutoHyphens w:val="0"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F4561"/>
    <w:pPr>
      <w:suppressAutoHyphens w:val="0"/>
      <w:spacing w:before="240" w:after="60"/>
      <w:jc w:val="left"/>
      <w:outlineLvl w:val="7"/>
    </w:pPr>
    <w:rPr>
      <w:rFonts w:ascii="Times New Roman" w:hAnsi="Times New Roman" w:cs="Times New Roman"/>
      <w:i/>
      <w:iCs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8F4561"/>
    <w:pPr>
      <w:suppressAutoHyphens w:val="0"/>
      <w:spacing w:before="240" w:after="60"/>
      <w:jc w:val="left"/>
      <w:outlineLvl w:val="8"/>
    </w:pPr>
    <w:rPr>
      <w:rFonts w:ascii="Arial" w:hAnsi="Arial" w:cs="Arial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2EC9"/>
    <w:pPr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character" w:customStyle="1" w:styleId="a">
    <w:name w:val="Основной текст_"/>
    <w:basedOn w:val="DefaultParagraphFont"/>
    <w:link w:val="1"/>
    <w:rsid w:val="00B42EC9"/>
    <w:rPr>
      <w:spacing w:val="2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B42EC9"/>
    <w:pPr>
      <w:widowControl w:val="0"/>
      <w:shd w:val="clear" w:color="auto" w:fill="FFFFFF"/>
      <w:suppressAutoHyphens w:val="0"/>
      <w:spacing w:after="180" w:line="341" w:lineRule="exact"/>
      <w:ind w:hanging="540"/>
      <w:jc w:val="left"/>
    </w:pPr>
    <w:rPr>
      <w:rFonts w:ascii="Times New Roman" w:hAnsi="Times New Roman" w:cs="Times New Roman"/>
      <w:spacing w:val="2"/>
      <w:sz w:val="20"/>
      <w:szCs w:val="20"/>
      <w:lang w:eastAsia="en-US"/>
    </w:rPr>
  </w:style>
  <w:style w:type="character" w:customStyle="1" w:styleId="3">
    <w:name w:val="Основной текст (3)_"/>
    <w:basedOn w:val="DefaultParagraphFont"/>
    <w:link w:val="30"/>
    <w:rsid w:val="00B42EC9"/>
    <w:rPr>
      <w:b/>
      <w:bCs/>
      <w:i/>
      <w:iCs/>
      <w:spacing w:val="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B42EC9"/>
    <w:pPr>
      <w:widowControl w:val="0"/>
      <w:shd w:val="clear" w:color="auto" w:fill="FFFFFF"/>
      <w:suppressAutoHyphens w:val="0"/>
      <w:spacing w:before="300" w:after="300" w:line="240" w:lineRule="atLeast"/>
      <w:ind w:hanging="320"/>
    </w:pPr>
    <w:rPr>
      <w:rFonts w:ascii="Times New Roman" w:hAnsi="Times New Roman" w:cs="Times New Roman"/>
      <w:b/>
      <w:bCs/>
      <w:i/>
      <w:iCs/>
      <w:spacing w:val="3"/>
      <w:sz w:val="20"/>
      <w:szCs w:val="20"/>
      <w:lang w:eastAsia="en-US"/>
    </w:rPr>
  </w:style>
  <w:style w:type="character" w:customStyle="1" w:styleId="0pt">
    <w:name w:val="Основной текст + Интервал 0 pt"/>
    <w:basedOn w:val="a"/>
    <w:rsid w:val="00B42EC9"/>
    <w:rPr>
      <w:rFonts w:ascii="Times New Roman" w:hAnsi="Times New Roman" w:cs="Times New Roman"/>
      <w:spacing w:val="1"/>
      <w:sz w:val="20"/>
      <w:szCs w:val="20"/>
      <w:u w:val="none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3520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2050"/>
    <w:rPr>
      <w:rFonts w:ascii="Garamond" w:hAnsi="Garamond" w:cs="Tahoma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3520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2050"/>
    <w:rPr>
      <w:rFonts w:ascii="Garamond" w:hAnsi="Garamond" w:cs="Tahoma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8F4561"/>
    <w:rPr>
      <w:sz w:val="22"/>
      <w:u w:val="single"/>
    </w:rPr>
  </w:style>
  <w:style w:type="character" w:customStyle="1" w:styleId="Heading3Char">
    <w:name w:val="Heading 3 Char"/>
    <w:basedOn w:val="DefaultParagraphFont"/>
    <w:link w:val="Heading3"/>
    <w:rsid w:val="008F4561"/>
    <w:rPr>
      <w:rFonts w:ascii="TypeWriterCyr" w:hAnsi="TypeWriterCyr"/>
      <w:sz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5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F4561"/>
    <w:rPr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8F4561"/>
    <w:rPr>
      <w:rFonts w:ascii="Arial" w:hAnsi="Arial" w:cs="Arial"/>
      <w:sz w:val="22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F4561"/>
    <w:pPr>
      <w:widowControl w:val="0"/>
      <w:tabs>
        <w:tab w:val="left" w:pos="0"/>
        <w:tab w:val="left" w:pos="284"/>
        <w:tab w:val="right" w:leader="dot" w:pos="9214"/>
      </w:tabs>
      <w:suppressAutoHyphens w:val="0"/>
      <w:autoSpaceDE w:val="0"/>
      <w:autoSpaceDN w:val="0"/>
      <w:adjustRightInd w:val="0"/>
      <w:spacing w:line="360" w:lineRule="auto"/>
      <w:ind w:right="-14"/>
    </w:pPr>
    <w:rPr>
      <w:rFonts w:ascii="Times New Roman" w:hAnsi="Times New Roman" w:cs="Times New Roman"/>
      <w:b/>
      <w:smallCaps/>
      <w:noProof/>
      <w:sz w:val="20"/>
      <w:szCs w:val="20"/>
      <w:lang w:eastAsia="bg-BG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F4561"/>
    <w:pPr>
      <w:widowControl w:val="0"/>
      <w:tabs>
        <w:tab w:val="left" w:pos="567"/>
        <w:tab w:val="right" w:leader="dot" w:pos="9214"/>
      </w:tabs>
      <w:suppressAutoHyphens w:val="0"/>
      <w:autoSpaceDE w:val="0"/>
      <w:autoSpaceDN w:val="0"/>
      <w:adjustRightInd w:val="0"/>
      <w:spacing w:line="360" w:lineRule="auto"/>
      <w:ind w:left="567" w:right="30" w:hanging="425"/>
    </w:pPr>
    <w:rPr>
      <w:rFonts w:ascii="Times New Roman" w:hAnsi="Times New Roman" w:cs="Times New Roman"/>
      <w:b/>
      <w:noProof/>
      <w:lang w:eastAsia="bg-BG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F4561"/>
    <w:pPr>
      <w:widowControl w:val="0"/>
      <w:tabs>
        <w:tab w:val="left" w:pos="851"/>
        <w:tab w:val="right" w:leader="dot" w:pos="9214"/>
      </w:tabs>
      <w:suppressAutoHyphens w:val="0"/>
      <w:autoSpaceDE w:val="0"/>
      <w:autoSpaceDN w:val="0"/>
      <w:adjustRightInd w:val="0"/>
      <w:spacing w:line="360" w:lineRule="auto"/>
      <w:ind w:left="851" w:right="30" w:hanging="567"/>
    </w:pPr>
    <w:rPr>
      <w:rFonts w:ascii="Times New Roman" w:hAnsi="Times New Roman" w:cs="Times New Roman"/>
      <w:noProof/>
      <w:spacing w:val="1"/>
      <w:lang w:eastAsia="bg-BG"/>
    </w:rPr>
  </w:style>
  <w:style w:type="paragraph" w:styleId="FootnoteText">
    <w:name w:val="footnote text"/>
    <w:basedOn w:val="Normal"/>
    <w:link w:val="FootnoteTextChar"/>
    <w:autoRedefine/>
    <w:uiPriority w:val="99"/>
    <w:qFormat/>
    <w:rsid w:val="008F4561"/>
    <w:pPr>
      <w:widowControl w:val="0"/>
      <w:tabs>
        <w:tab w:val="left" w:pos="284"/>
      </w:tabs>
      <w:suppressAutoHyphens w:val="0"/>
      <w:spacing w:after="80" w:line="276" w:lineRule="auto"/>
      <w:ind w:left="284" w:hanging="284"/>
      <w:jc w:val="left"/>
    </w:pPr>
    <w:rPr>
      <w:rFonts w:ascii="Calibri" w:hAnsi="Calibri" w:cs="Times New Roman"/>
      <w:sz w:val="20"/>
      <w:szCs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4561"/>
    <w:rPr>
      <w:rFonts w:ascii="Calibri" w:hAnsi="Calibri"/>
      <w:szCs w:val="22"/>
      <w:lang w:val="en-GB"/>
    </w:rPr>
  </w:style>
  <w:style w:type="paragraph" w:styleId="Subtitle">
    <w:name w:val="Subtitle"/>
    <w:basedOn w:val="Normal"/>
    <w:link w:val="SubtitleChar"/>
    <w:qFormat/>
    <w:rsid w:val="008F4561"/>
    <w:pPr>
      <w:suppressAutoHyphens w:val="0"/>
    </w:pPr>
    <w:rPr>
      <w:rFonts w:ascii="TypeWriterCyr" w:hAnsi="TypeWriterCyr" w:cs="Times New Roman"/>
      <w:b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F4561"/>
    <w:rPr>
      <w:rFonts w:ascii="TypeWriterCyr" w:hAnsi="TypeWriterCyr"/>
      <w:b/>
      <w:sz w:val="24"/>
    </w:rPr>
  </w:style>
  <w:style w:type="character" w:styleId="Strong">
    <w:name w:val="Strong"/>
    <w:uiPriority w:val="22"/>
    <w:qFormat/>
    <w:rsid w:val="008F4561"/>
    <w:rPr>
      <w:b/>
      <w:bCs/>
    </w:rPr>
  </w:style>
  <w:style w:type="character" w:styleId="Emphasis">
    <w:name w:val="Emphasis"/>
    <w:qFormat/>
    <w:rsid w:val="008F4561"/>
    <w:rPr>
      <w:i/>
      <w:iCs/>
    </w:rPr>
  </w:style>
  <w:style w:type="paragraph" w:styleId="TOCHeading">
    <w:name w:val="TOC Heading"/>
    <w:basedOn w:val="Heading1"/>
    <w:next w:val="Normal"/>
    <w:uiPriority w:val="39"/>
    <w:qFormat/>
    <w:rsid w:val="008F4561"/>
    <w:pPr>
      <w:keepLines/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8F456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561"/>
    <w:pPr>
      <w:suppressAutoHyphens w:val="0"/>
      <w:jc w:val="left"/>
    </w:pPr>
    <w:rPr>
      <w:rFonts w:ascii="Tahoma" w:eastAsiaTheme="minorHAnsi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61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17</Pages>
  <Words>4146</Words>
  <Characters>23635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AGaneva</dc:creator>
  <cp:keywords/>
  <dc:description/>
  <cp:lastModifiedBy>AGaneva</cp:lastModifiedBy>
  <cp:revision>2</cp:revision>
  <dcterms:created xsi:type="dcterms:W3CDTF">2015-08-13T13:53:00Z</dcterms:created>
  <dcterms:modified xsi:type="dcterms:W3CDTF">2015-10-10T09:05:00Z</dcterms:modified>
</cp:coreProperties>
</file>